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FC472" w14:textId="6937F16F" w:rsidR="005E219C" w:rsidRPr="005E219C" w:rsidRDefault="005E219C" w:rsidP="005E219C">
      <w:pPr>
        <w:pStyle w:val="AH5Sec"/>
        <w:ind w:left="0" w:firstLine="0"/>
        <w:rPr>
          <w:rStyle w:val="CharSectNo"/>
          <w:sz w:val="36"/>
          <w:szCs w:val="36"/>
        </w:rPr>
      </w:pPr>
      <w:bookmarkStart w:id="0" w:name="_Toc506994590"/>
      <w:r w:rsidRPr="005E219C">
        <w:rPr>
          <w:rStyle w:val="CharSectNo"/>
          <w:sz w:val="36"/>
          <w:szCs w:val="36"/>
        </w:rPr>
        <w:t>STORAGE OF CATEGORY H FIREARMS</w:t>
      </w:r>
    </w:p>
    <w:p w14:paraId="05E9EA9B" w14:textId="044ACFB7" w:rsidR="005E219C" w:rsidRPr="005E219C" w:rsidRDefault="005E219C" w:rsidP="005E219C">
      <w:pPr>
        <w:pStyle w:val="AH5Sec"/>
        <w:ind w:left="0" w:firstLine="0"/>
        <w:rPr>
          <w:rStyle w:val="CharSectNo"/>
          <w:i/>
          <w:iCs/>
        </w:rPr>
      </w:pPr>
      <w:r w:rsidRPr="005E219C">
        <w:rPr>
          <w:rStyle w:val="CharSectNo"/>
          <w:i/>
          <w:iCs/>
        </w:rPr>
        <w:t xml:space="preserve">ACT FIREARMS </w:t>
      </w:r>
      <w:r>
        <w:rPr>
          <w:rStyle w:val="CharSectNo"/>
          <w:i/>
          <w:iCs/>
        </w:rPr>
        <w:t>ACT</w:t>
      </w:r>
      <w:r w:rsidRPr="005E219C">
        <w:rPr>
          <w:rStyle w:val="CharSectNo"/>
          <w:i/>
          <w:iCs/>
        </w:rPr>
        <w:t xml:space="preserve"> MARCH 2018</w:t>
      </w:r>
    </w:p>
    <w:p w14:paraId="717DA7A2" w14:textId="77777777" w:rsidR="005E219C" w:rsidRDefault="005E219C" w:rsidP="005E219C">
      <w:pPr>
        <w:pStyle w:val="AH5Sec"/>
      </w:pPr>
      <w:bookmarkStart w:id="1" w:name="_Toc507061043"/>
      <w:r w:rsidRPr="009E0ED3">
        <w:rPr>
          <w:rStyle w:val="CharSectNo"/>
        </w:rPr>
        <w:t>182</w:t>
      </w:r>
      <w:r>
        <w:tab/>
        <w:t>Offence—storage requirements for category C, D and H licences</w:t>
      </w:r>
      <w:bookmarkEnd w:id="1"/>
    </w:p>
    <w:p w14:paraId="7C94ED8E" w14:textId="77777777" w:rsidR="005E219C" w:rsidRDefault="005E219C" w:rsidP="005E219C">
      <w:pPr>
        <w:pStyle w:val="Amain"/>
      </w:pPr>
      <w:r>
        <w:tab/>
        <w:t>(1)</w:t>
      </w:r>
      <w:r>
        <w:tab/>
        <w:t>The holder of a category C, category D or category H licence must comply with the following requirements in relation to each registered firearm held under the licence:</w:t>
      </w:r>
    </w:p>
    <w:p w14:paraId="786A5C97" w14:textId="77777777" w:rsidR="005E219C" w:rsidRDefault="005E219C" w:rsidP="005E219C">
      <w:pPr>
        <w:pStyle w:val="Apara"/>
      </w:pPr>
      <w:r>
        <w:tab/>
        <w:t>(a)</w:t>
      </w:r>
      <w:r>
        <w:tab/>
        <w:t xml:space="preserve">when the firearm is not being used or carried, it </w:t>
      </w:r>
      <w:r w:rsidRPr="00383099">
        <w:t>must</w:t>
      </w:r>
      <w:r>
        <w:t xml:space="preserve"> be stored in a locked steel safe—</w:t>
      </w:r>
    </w:p>
    <w:p w14:paraId="236EFE60" w14:textId="77777777" w:rsidR="005E219C" w:rsidRDefault="005E219C" w:rsidP="005E219C">
      <w:pPr>
        <w:pStyle w:val="Asubpara"/>
      </w:pPr>
      <w:r>
        <w:tab/>
        <w:t>(</w:t>
      </w:r>
      <w:proofErr w:type="spellStart"/>
      <w:r>
        <w:t>i</w:t>
      </w:r>
      <w:proofErr w:type="spellEnd"/>
      <w:r>
        <w:t>)</w:t>
      </w:r>
      <w:r>
        <w:tab/>
        <w:t xml:space="preserve">of a type approved by the registrar that </w:t>
      </w:r>
      <w:proofErr w:type="spellStart"/>
      <w:r>
        <w:t>can not</w:t>
      </w:r>
      <w:proofErr w:type="spellEnd"/>
      <w:r>
        <w:t xml:space="preserve"> be easily penetrated; and</w:t>
      </w:r>
    </w:p>
    <w:p w14:paraId="7421638A" w14:textId="77777777" w:rsidR="005E219C" w:rsidRDefault="005E219C" w:rsidP="005E219C">
      <w:pPr>
        <w:pStyle w:val="Asubpara"/>
      </w:pPr>
      <w:r>
        <w:tab/>
        <w:t>(ii)</w:t>
      </w:r>
      <w:r>
        <w:tab/>
        <w:t>bolted to the structure of the premises where the firearm is authorised to be kept;</w:t>
      </w:r>
    </w:p>
    <w:p w14:paraId="3FF4ADF4" w14:textId="77777777" w:rsidR="005E219C" w:rsidRDefault="005E219C" w:rsidP="005E219C">
      <w:pPr>
        <w:pStyle w:val="Apara"/>
      </w:pPr>
      <w:r>
        <w:tab/>
        <w:t>(b)</w:t>
      </w:r>
      <w:r>
        <w:tab/>
        <w:t xml:space="preserve">any ammunition for the firearm </w:t>
      </w:r>
      <w:r w:rsidRPr="00383099">
        <w:t>must</w:t>
      </w:r>
      <w:r>
        <w:t xml:space="preserve"> be stored in a locked container of a type approved by the registrar and that is kept separate from the safe containing the firearm;</w:t>
      </w:r>
    </w:p>
    <w:p w14:paraId="28C23731" w14:textId="77777777" w:rsidR="005E219C" w:rsidRDefault="005E219C" w:rsidP="005E219C">
      <w:pPr>
        <w:pStyle w:val="Apara"/>
        <w:keepNext/>
      </w:pPr>
      <w:r>
        <w:tab/>
        <w:t>(c)</w:t>
      </w:r>
      <w:r>
        <w:tab/>
        <w:t>the other requirements relating to security and safe storage that are prescribed.</w:t>
      </w:r>
    </w:p>
    <w:p w14:paraId="3DCC2C91" w14:textId="77777777" w:rsidR="005E219C" w:rsidRDefault="005E219C" w:rsidP="005E219C">
      <w:pPr>
        <w:pStyle w:val="Penalty"/>
      </w:pPr>
      <w:r>
        <w:t>Maximum penalty:  imprisonment for 2 years.</w:t>
      </w:r>
    </w:p>
    <w:p w14:paraId="1A0A67E8" w14:textId="47A217A4" w:rsidR="005E219C" w:rsidRDefault="005E219C" w:rsidP="005E219C">
      <w:pPr>
        <w:pStyle w:val="Amain"/>
        <w:keepLines/>
        <w:rPr>
          <w:rStyle w:val="CharSectNo"/>
          <w:i/>
          <w:iCs/>
        </w:rPr>
      </w:pPr>
      <w:r>
        <w:tab/>
        <w:t>(2)</w:t>
      </w:r>
      <w:r>
        <w:tab/>
        <w:t>A licensee need not comply with the requirements of this section if the licensee satisfies the registrar that the licensee has provided alternative arrangements for the storage of firearms in the licensee’s possession that are of a standard not less than the requirements set out in this section</w:t>
      </w:r>
      <w:r>
        <w:t>.</w:t>
      </w:r>
    </w:p>
    <w:p w14:paraId="7CCDAF20" w14:textId="77777777" w:rsidR="005E219C" w:rsidRDefault="005E219C" w:rsidP="005E219C">
      <w:pPr>
        <w:pStyle w:val="AH5Sec"/>
        <w:ind w:left="0" w:firstLine="0"/>
        <w:rPr>
          <w:rStyle w:val="CharSectNo"/>
          <w:i/>
          <w:iCs/>
        </w:rPr>
      </w:pPr>
    </w:p>
    <w:p w14:paraId="5FAC2504" w14:textId="0A9E7A7C" w:rsidR="005E219C" w:rsidRPr="005E219C" w:rsidRDefault="005E219C" w:rsidP="005E219C">
      <w:pPr>
        <w:pStyle w:val="AH5Sec"/>
        <w:ind w:left="0" w:firstLine="0"/>
        <w:rPr>
          <w:rStyle w:val="CharSectNo"/>
          <w:i/>
          <w:iCs/>
        </w:rPr>
      </w:pPr>
      <w:r>
        <w:rPr>
          <w:rStyle w:val="CharSectNo"/>
          <w:i/>
          <w:iCs/>
        </w:rPr>
        <w:t>A</w:t>
      </w:r>
      <w:r w:rsidRPr="005E219C">
        <w:rPr>
          <w:rStyle w:val="CharSectNo"/>
          <w:i/>
          <w:iCs/>
        </w:rPr>
        <w:t>CT FIREARMS REGULATIONS MARCH 2018</w:t>
      </w:r>
    </w:p>
    <w:p w14:paraId="3AD6CFEF" w14:textId="202251E3" w:rsidR="005E219C" w:rsidRPr="007D076B" w:rsidRDefault="005E219C" w:rsidP="005E219C">
      <w:pPr>
        <w:pStyle w:val="AH5Sec"/>
        <w:ind w:left="0" w:firstLine="0"/>
        <w:rPr>
          <w:b w:val="0"/>
        </w:rPr>
      </w:pPr>
      <w:r w:rsidRPr="00F94BE7">
        <w:rPr>
          <w:rStyle w:val="CharSectNo"/>
        </w:rPr>
        <w:t>47</w:t>
      </w:r>
      <w:r w:rsidRPr="007D076B">
        <w:tab/>
        <w:t>Storage of category C, category D and category H firearms, collectors—Act, s 180 (3)</w:t>
      </w:r>
      <w:bookmarkEnd w:id="0"/>
    </w:p>
    <w:p w14:paraId="5DF3DCFD" w14:textId="3FBFBBFB" w:rsidR="005E219C" w:rsidRPr="007D076B" w:rsidRDefault="005E219C" w:rsidP="005E219C">
      <w:pPr>
        <w:pStyle w:val="Amain"/>
      </w:pPr>
      <w:r>
        <w:tab/>
      </w:r>
      <w:r w:rsidRPr="007D076B">
        <w:t>(1)</w:t>
      </w:r>
      <w:r w:rsidRPr="007D076B">
        <w:tab/>
        <w:t>A person who holds a collector</w:t>
      </w:r>
      <w:r>
        <w:t>’</w:t>
      </w:r>
      <w:r w:rsidRPr="007D076B">
        <w:t xml:space="preserve">s </w:t>
      </w:r>
      <w:r w:rsidR="0085777C">
        <w:t>l</w:t>
      </w:r>
      <w:r w:rsidRPr="007D076B">
        <w:t>icence</w:t>
      </w:r>
      <w:r w:rsidR="0085777C">
        <w:rPr>
          <w:rStyle w:val="FootnoteReference"/>
        </w:rPr>
        <w:footnoteReference w:id="1"/>
      </w:r>
      <w:r w:rsidRPr="007D076B">
        <w:t xml:space="preserve"> takes reasonable steps to ensure that a category C, category D or category H firearm stated in the licence is stored safely if the firearm is stored in accordance with this section.</w:t>
      </w:r>
    </w:p>
    <w:p w14:paraId="6F71B597" w14:textId="77777777" w:rsidR="005E219C" w:rsidRPr="007D076B" w:rsidRDefault="005E219C" w:rsidP="005E219C">
      <w:pPr>
        <w:pStyle w:val="Amain"/>
      </w:pPr>
      <w:r>
        <w:tab/>
      </w:r>
      <w:r w:rsidRPr="007D076B">
        <w:t>(2)</w:t>
      </w:r>
      <w:r w:rsidRPr="007D076B">
        <w:tab/>
        <w:t>The firearms must be stored in a metal safe or a concrete or brick safe.</w:t>
      </w:r>
    </w:p>
    <w:p w14:paraId="78506055" w14:textId="77777777" w:rsidR="005E219C" w:rsidRPr="007D076B" w:rsidRDefault="005E219C" w:rsidP="005E219C">
      <w:pPr>
        <w:pStyle w:val="Amain"/>
        <w:keepNext/>
      </w:pPr>
      <w:r>
        <w:tab/>
      </w:r>
      <w:r w:rsidRPr="007D076B">
        <w:t>(3)</w:t>
      </w:r>
      <w:r w:rsidRPr="007D076B">
        <w:tab/>
        <w:t>A safe mentioned in subsection (2) must—</w:t>
      </w:r>
    </w:p>
    <w:p w14:paraId="3E8C8E19" w14:textId="77777777" w:rsidR="005E219C" w:rsidRPr="007D076B" w:rsidRDefault="005E219C" w:rsidP="005E219C">
      <w:pPr>
        <w:pStyle w:val="Apara"/>
        <w:keepNext/>
      </w:pPr>
      <w:r>
        <w:tab/>
      </w:r>
      <w:r w:rsidRPr="007D076B">
        <w:t>(a)</w:t>
      </w:r>
      <w:r w:rsidRPr="007D076B">
        <w:tab/>
        <w:t>for a metal safe—</w:t>
      </w:r>
    </w:p>
    <w:p w14:paraId="31341A3E" w14:textId="77777777" w:rsidR="005E219C" w:rsidRPr="007D076B" w:rsidRDefault="005E219C" w:rsidP="005E219C">
      <w:pPr>
        <w:pStyle w:val="Asubpara"/>
        <w:keepNext/>
      </w:pPr>
      <w:r>
        <w:tab/>
      </w:r>
      <w:r w:rsidRPr="007D076B">
        <w:t>(</w:t>
      </w:r>
      <w:proofErr w:type="spellStart"/>
      <w:r w:rsidRPr="007D076B">
        <w:t>i</w:t>
      </w:r>
      <w:proofErr w:type="spellEnd"/>
      <w:r w:rsidRPr="007D076B">
        <w:t>)</w:t>
      </w:r>
      <w:r w:rsidRPr="007D076B">
        <w:tab/>
        <w:t>be constructed of structural grade mild steel that conforms with AS/NZS 3678:1996 grade 250 and is not less than 3mm thick; and</w:t>
      </w:r>
    </w:p>
    <w:p w14:paraId="36DF891A" w14:textId="77777777" w:rsidR="005E219C" w:rsidRPr="007D076B" w:rsidRDefault="005E219C" w:rsidP="005E219C">
      <w:pPr>
        <w:pStyle w:val="Asubpara"/>
      </w:pPr>
      <w:r>
        <w:tab/>
      </w:r>
      <w:r w:rsidRPr="007D076B">
        <w:t>(ii)</w:t>
      </w:r>
      <w:r w:rsidRPr="007D076B">
        <w:tab/>
        <w:t>be constructed with continuous welding of all edges; and</w:t>
      </w:r>
    </w:p>
    <w:p w14:paraId="389B7659" w14:textId="77777777" w:rsidR="005E219C" w:rsidRPr="007D076B" w:rsidRDefault="005E219C" w:rsidP="005E219C">
      <w:pPr>
        <w:pStyle w:val="Apara"/>
      </w:pPr>
      <w:r>
        <w:lastRenderedPageBreak/>
        <w:tab/>
      </w:r>
      <w:r w:rsidRPr="007D076B">
        <w:t>(b)</w:t>
      </w:r>
      <w:r w:rsidRPr="007D076B">
        <w:tab/>
        <w:t xml:space="preserve">for a safe other than a metal safe—be constructed of reinforced concrete, double brick or reinforced </w:t>
      </w:r>
      <w:proofErr w:type="spellStart"/>
      <w:r w:rsidRPr="007D076B">
        <w:t>besser</w:t>
      </w:r>
      <w:proofErr w:type="spellEnd"/>
      <w:r w:rsidRPr="007D076B">
        <w:t xml:space="preserve"> blocks that are not less than 140mm thick; and</w:t>
      </w:r>
    </w:p>
    <w:p w14:paraId="3F180E3F" w14:textId="77777777" w:rsidR="005E219C" w:rsidRPr="007D076B" w:rsidRDefault="005E219C" w:rsidP="005E219C">
      <w:pPr>
        <w:pStyle w:val="Apara"/>
      </w:pPr>
      <w:r>
        <w:tab/>
      </w:r>
      <w:r w:rsidRPr="007D076B">
        <w:t>(c)</w:t>
      </w:r>
      <w:r w:rsidRPr="007D076B">
        <w:tab/>
        <w:t>be fitted with a door—</w:t>
      </w:r>
    </w:p>
    <w:p w14:paraId="18E75F88" w14:textId="77777777" w:rsidR="005E219C" w:rsidRPr="007D076B" w:rsidRDefault="005E219C" w:rsidP="005E219C">
      <w:pPr>
        <w:pStyle w:val="Asubpara"/>
        <w:keepNext/>
      </w:pPr>
      <w:r>
        <w:tab/>
      </w:r>
      <w:r w:rsidRPr="007D076B">
        <w:t>(</w:t>
      </w:r>
      <w:proofErr w:type="spellStart"/>
      <w:r w:rsidRPr="007D076B">
        <w:t>i</w:t>
      </w:r>
      <w:proofErr w:type="spellEnd"/>
      <w:r w:rsidRPr="007D076B">
        <w:t>)</w:t>
      </w:r>
      <w:r w:rsidRPr="007D076B">
        <w:tab/>
        <w:t>constructed of structural grade mild steel that conforms with Australian Standard 3678:1996 grade 250 and is not less than 3mm thick and that is swung on either—</w:t>
      </w:r>
    </w:p>
    <w:p w14:paraId="7F48934F" w14:textId="77777777" w:rsidR="005E219C" w:rsidRPr="007D076B" w:rsidRDefault="005E219C" w:rsidP="005E219C">
      <w:pPr>
        <w:pStyle w:val="Asubsubpara"/>
      </w:pPr>
      <w:r>
        <w:tab/>
      </w:r>
      <w:r w:rsidRPr="007D076B">
        <w:t>(A)</w:t>
      </w:r>
      <w:r w:rsidRPr="007D076B">
        <w:tab/>
        <w:t>concealed pivots; or</w:t>
      </w:r>
    </w:p>
    <w:p w14:paraId="1E4832AA" w14:textId="77777777" w:rsidR="005E219C" w:rsidRPr="007D076B" w:rsidRDefault="005E219C" w:rsidP="005E219C">
      <w:pPr>
        <w:pStyle w:val="Asubsubpara"/>
      </w:pPr>
      <w:r>
        <w:tab/>
      </w:r>
      <w:r w:rsidRPr="007D076B">
        <w:t>(B)</w:t>
      </w:r>
      <w:r w:rsidRPr="007D076B">
        <w:tab/>
        <w:t>externally mounted sealed end hinges welded to the door and body of the container; and</w:t>
      </w:r>
    </w:p>
    <w:p w14:paraId="52CC6C10" w14:textId="77777777" w:rsidR="005E219C" w:rsidRPr="007D076B" w:rsidRDefault="005E219C" w:rsidP="005E219C">
      <w:pPr>
        <w:pStyle w:val="Asubpara"/>
      </w:pPr>
      <w:r>
        <w:tab/>
      </w:r>
      <w:r w:rsidRPr="007D076B">
        <w:t>(ii)</w:t>
      </w:r>
      <w:r w:rsidRPr="007D076B">
        <w:tab/>
        <w:t>that is flush fitting with a clearance around it of no more than 1mm; and</w:t>
      </w:r>
    </w:p>
    <w:p w14:paraId="075A8685" w14:textId="77777777" w:rsidR="005E219C" w:rsidRPr="007D076B" w:rsidRDefault="005E219C" w:rsidP="005E219C">
      <w:pPr>
        <w:pStyle w:val="Apara"/>
      </w:pPr>
      <w:r>
        <w:tab/>
      </w:r>
      <w:r w:rsidRPr="007D076B">
        <w:t>(d)</w:t>
      </w:r>
      <w:r w:rsidRPr="007D076B">
        <w:tab/>
        <w:t>if the door is hinged—have a fixed locking bar or dogging bolts welded to the inside face of the door near the hinge edge that engages or engage in a rebate in the container body when the door is closed; and</w:t>
      </w:r>
    </w:p>
    <w:p w14:paraId="36E75497" w14:textId="77777777" w:rsidR="005E219C" w:rsidRPr="007D076B" w:rsidRDefault="005E219C" w:rsidP="005E219C">
      <w:pPr>
        <w:pStyle w:val="Apara"/>
      </w:pPr>
      <w:r>
        <w:tab/>
      </w:r>
      <w:r w:rsidRPr="007D076B">
        <w:t>(e)</w:t>
      </w:r>
      <w:r w:rsidRPr="007D076B">
        <w:tab/>
        <w:t>be fitted with a 5-lever key deadlock or a locking mechanism that provides at least equivalent security; and</w:t>
      </w:r>
    </w:p>
    <w:p w14:paraId="63A4E824" w14:textId="77777777" w:rsidR="005E219C" w:rsidRPr="007D076B" w:rsidRDefault="005E219C" w:rsidP="005E219C">
      <w:pPr>
        <w:pStyle w:val="Apara"/>
      </w:pPr>
      <w:r>
        <w:tab/>
      </w:r>
      <w:r w:rsidRPr="007D076B">
        <w:t>(f)</w:t>
      </w:r>
      <w:r w:rsidRPr="007D076B">
        <w:tab/>
        <w:t xml:space="preserve">be constructed with a </w:t>
      </w:r>
      <w:proofErr w:type="gramStart"/>
      <w:r w:rsidRPr="007D076B">
        <w:t>full length</w:t>
      </w:r>
      <w:proofErr w:type="gramEnd"/>
      <w:r w:rsidRPr="007D076B">
        <w:t xml:space="preserve"> steel rebate welded to the side of the container body, the locking edge of which will receive the deadlock of the locking mechanism.</w:t>
      </w:r>
    </w:p>
    <w:p w14:paraId="486A8B43" w14:textId="77777777" w:rsidR="005E219C" w:rsidRPr="007D076B" w:rsidRDefault="005E219C" w:rsidP="005E219C">
      <w:pPr>
        <w:pStyle w:val="Amain"/>
        <w:keepNext/>
      </w:pPr>
      <w:r>
        <w:tab/>
      </w:r>
      <w:r w:rsidRPr="007D076B">
        <w:t>(4)</w:t>
      </w:r>
      <w:r w:rsidRPr="007D076B">
        <w:tab/>
        <w:t>A metal safe mentioned in subsection (2) must be mounted on a wall or on the floor as follows:</w:t>
      </w:r>
    </w:p>
    <w:p w14:paraId="3A6D6F8B" w14:textId="77777777" w:rsidR="005E219C" w:rsidRPr="007D076B" w:rsidRDefault="005E219C" w:rsidP="005E219C">
      <w:pPr>
        <w:pStyle w:val="Apara"/>
      </w:pPr>
      <w:r>
        <w:tab/>
      </w:r>
      <w:r w:rsidRPr="007D076B">
        <w:t>(a)</w:t>
      </w:r>
      <w:r w:rsidRPr="007D076B">
        <w:tab/>
        <w:t>if mounted on brick—the safe must be attached by at least 2 </w:t>
      </w:r>
      <w:proofErr w:type="spellStart"/>
      <w:r w:rsidRPr="007D076B">
        <w:t>Loxin</w:t>
      </w:r>
      <w:proofErr w:type="spellEnd"/>
      <w:r w:rsidRPr="007D076B">
        <w:t xml:space="preserve"> anchor-type high-tensile bolts with a diameter of 52mm x 16mm and a 10mm thread;</w:t>
      </w:r>
    </w:p>
    <w:p w14:paraId="135CF80C" w14:textId="77777777" w:rsidR="005E219C" w:rsidRPr="007D076B" w:rsidRDefault="005E219C" w:rsidP="005E219C">
      <w:pPr>
        <w:pStyle w:val="Apara"/>
      </w:pPr>
      <w:r>
        <w:tab/>
      </w:r>
      <w:r w:rsidRPr="007D076B">
        <w:t>(b)</w:t>
      </w:r>
      <w:r w:rsidRPr="007D076B">
        <w:tab/>
        <w:t>if mounted on concrete or stone—the safe must be attached by at least 2 Dyna-type bolts and expanding anchors with a diameter of 70mm x 12mm and a 10mm thread that are internally fitted through holes in the rear or bottom of the container that conform with the manufacturer’s specifications;</w:t>
      </w:r>
    </w:p>
    <w:p w14:paraId="70A4A1F3" w14:textId="77777777" w:rsidR="005E219C" w:rsidRPr="007D076B" w:rsidRDefault="005E219C" w:rsidP="005E219C">
      <w:pPr>
        <w:pStyle w:val="Apara"/>
      </w:pPr>
      <w:r>
        <w:tab/>
      </w:r>
      <w:r w:rsidRPr="007D076B">
        <w:t>(c)</w:t>
      </w:r>
      <w:r w:rsidRPr="007D076B">
        <w:tab/>
        <w:t>if mounted on wall studs or floor joists—</w:t>
      </w:r>
    </w:p>
    <w:p w14:paraId="76E5CCF4" w14:textId="77777777" w:rsidR="005E219C" w:rsidRPr="007D076B" w:rsidRDefault="005E219C" w:rsidP="005E219C">
      <w:pPr>
        <w:pStyle w:val="Asubpara"/>
      </w:pPr>
      <w:r>
        <w:tab/>
      </w:r>
      <w:r w:rsidRPr="007D076B">
        <w:t>(</w:t>
      </w:r>
      <w:proofErr w:type="spellStart"/>
      <w:r w:rsidRPr="007D076B">
        <w:t>i</w:t>
      </w:r>
      <w:proofErr w:type="spellEnd"/>
      <w:r w:rsidRPr="007D076B">
        <w:t>)</w:t>
      </w:r>
      <w:r w:rsidRPr="007D076B">
        <w:tab/>
        <w:t>it must be attached flush against the timber or plaster surfaces by 2 steel hexagonal-head coach screws that are not less than 8mm in diameter x 50mm in length and are internally fitted through holes in the rear or bottom of the container that conform with the manufacturer’s specifications; and</w:t>
      </w:r>
    </w:p>
    <w:p w14:paraId="68F49936" w14:textId="77777777" w:rsidR="005E219C" w:rsidRPr="007D076B" w:rsidRDefault="005E219C" w:rsidP="005E219C">
      <w:pPr>
        <w:pStyle w:val="Asubpara"/>
      </w:pPr>
      <w:r>
        <w:tab/>
      </w:r>
      <w:r w:rsidRPr="007D076B">
        <w:t>(ii)</w:t>
      </w:r>
      <w:r w:rsidRPr="007D076B">
        <w:tab/>
        <w:t>the container, timber floor or plaster wall surfaces must be recessed so there is no airspace between the surfaces and the container, with the rear bottom edge of the container being recessed into skirting board.</w:t>
      </w:r>
    </w:p>
    <w:p w14:paraId="0854BD39" w14:textId="45BC874B" w:rsidR="0091444F" w:rsidRPr="005E219C" w:rsidRDefault="005E219C" w:rsidP="0085777C">
      <w:pPr>
        <w:pStyle w:val="Amain"/>
      </w:pPr>
      <w:r>
        <w:tab/>
      </w:r>
      <w:r w:rsidRPr="007D076B">
        <w:t>(5)</w:t>
      </w:r>
      <w:r w:rsidRPr="007D076B">
        <w:tab/>
        <w:t>A locking mechanism mentioned in subsection (3) (e) must be securely fixed to the rear face of the door of the container by retaining screws and a metal strap overlapping, or enclosing, the locking case with each end welded to the rear door face.</w:t>
      </w:r>
      <w:bookmarkStart w:id="2" w:name="_GoBack"/>
      <w:bookmarkEnd w:id="2"/>
    </w:p>
    <w:sectPr w:rsidR="0091444F" w:rsidRPr="005E219C" w:rsidSect="009268AC">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1E0BF" w14:textId="77777777" w:rsidR="005B11F6" w:rsidRDefault="005B11F6" w:rsidP="005E219C">
      <w:r>
        <w:separator/>
      </w:r>
    </w:p>
  </w:endnote>
  <w:endnote w:type="continuationSeparator" w:id="0">
    <w:p w14:paraId="1982BA17" w14:textId="77777777" w:rsidR="005B11F6" w:rsidRDefault="005B11F6" w:rsidP="005E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CA048" w14:textId="77777777" w:rsidR="005B11F6" w:rsidRDefault="005B11F6" w:rsidP="005E219C">
      <w:r>
        <w:separator/>
      </w:r>
    </w:p>
  </w:footnote>
  <w:footnote w:type="continuationSeparator" w:id="0">
    <w:p w14:paraId="347C650E" w14:textId="77777777" w:rsidR="005B11F6" w:rsidRDefault="005B11F6" w:rsidP="005E219C">
      <w:r>
        <w:continuationSeparator/>
      </w:r>
    </w:p>
  </w:footnote>
  <w:footnote w:id="1">
    <w:p w14:paraId="399B6845" w14:textId="0ADC6FDF" w:rsidR="0085777C" w:rsidRDefault="0085777C">
      <w:pPr>
        <w:pStyle w:val="FootnoteText"/>
      </w:pPr>
      <w:r>
        <w:rPr>
          <w:rStyle w:val="FootnoteReference"/>
        </w:rPr>
        <w:footnoteRef/>
      </w:r>
      <w:r>
        <w:t xml:space="preserve"> SSPC understands that this section is intended to refer to all storage of Cat H firearms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AD695" w14:textId="7E4F6293" w:rsidR="005E219C" w:rsidRDefault="005E219C">
    <w:pPr>
      <w:pStyle w:val="Header"/>
    </w:pPr>
    <w:r>
      <w:t>DISCLAIMER: This document is provided for the information of members of the Sporting Shooters Pistol Club ACT Inc.  The association does not provide legal advice and members should satisfy themselves that they understand relevant firearms legislation and comply with it at all times.</w:t>
    </w:r>
  </w:p>
  <w:p w14:paraId="16DC1885" w14:textId="77777777" w:rsidR="005E219C" w:rsidRDefault="005E21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9C"/>
    <w:rsid w:val="005B11F6"/>
    <w:rsid w:val="005E219C"/>
    <w:rsid w:val="0085777C"/>
    <w:rsid w:val="009268AC"/>
    <w:rsid w:val="00D148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472DA5F"/>
  <w15:chartTrackingRefBased/>
  <w15:docId w15:val="{B6D33997-E8E6-F242-BADD-31AA7483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Normal"/>
    <w:rsid w:val="005E219C"/>
    <w:pPr>
      <w:tabs>
        <w:tab w:val="right" w:pos="900"/>
        <w:tab w:val="left" w:pos="1100"/>
      </w:tabs>
      <w:spacing w:before="140"/>
      <w:ind w:left="1100" w:hanging="1100"/>
      <w:jc w:val="both"/>
      <w:outlineLvl w:val="5"/>
    </w:pPr>
    <w:rPr>
      <w:rFonts w:ascii="Times New Roman" w:eastAsia="Times New Roman" w:hAnsi="Times New Roman" w:cs="Times New Roman"/>
      <w:szCs w:val="20"/>
    </w:rPr>
  </w:style>
  <w:style w:type="paragraph" w:customStyle="1" w:styleId="Apara">
    <w:name w:val="A para"/>
    <w:basedOn w:val="Normal"/>
    <w:rsid w:val="005E219C"/>
    <w:pPr>
      <w:tabs>
        <w:tab w:val="right" w:pos="1400"/>
        <w:tab w:val="left" w:pos="1600"/>
      </w:tabs>
      <w:spacing w:before="140"/>
      <w:ind w:left="1600" w:hanging="1600"/>
      <w:jc w:val="both"/>
      <w:outlineLvl w:val="6"/>
    </w:pPr>
    <w:rPr>
      <w:rFonts w:ascii="Times New Roman" w:eastAsia="Times New Roman" w:hAnsi="Times New Roman" w:cs="Times New Roman"/>
      <w:szCs w:val="20"/>
    </w:rPr>
  </w:style>
  <w:style w:type="paragraph" w:customStyle="1" w:styleId="Asubpara">
    <w:name w:val="A subpara"/>
    <w:basedOn w:val="Normal"/>
    <w:rsid w:val="005E219C"/>
    <w:pPr>
      <w:tabs>
        <w:tab w:val="right" w:pos="1900"/>
        <w:tab w:val="left" w:pos="2100"/>
      </w:tabs>
      <w:spacing w:before="140"/>
      <w:ind w:left="2100" w:hanging="2100"/>
      <w:jc w:val="both"/>
      <w:outlineLvl w:val="7"/>
    </w:pPr>
    <w:rPr>
      <w:rFonts w:ascii="Times New Roman" w:eastAsia="Times New Roman" w:hAnsi="Times New Roman" w:cs="Times New Roman"/>
      <w:szCs w:val="20"/>
    </w:rPr>
  </w:style>
  <w:style w:type="paragraph" w:customStyle="1" w:styleId="Asubsubpara">
    <w:name w:val="A subsubpara"/>
    <w:basedOn w:val="Normal"/>
    <w:rsid w:val="005E219C"/>
    <w:pPr>
      <w:tabs>
        <w:tab w:val="right" w:pos="2400"/>
        <w:tab w:val="left" w:pos="2600"/>
      </w:tabs>
      <w:spacing w:before="140"/>
      <w:ind w:left="2600" w:hanging="2600"/>
      <w:jc w:val="both"/>
      <w:outlineLvl w:val="8"/>
    </w:pPr>
    <w:rPr>
      <w:rFonts w:ascii="Times New Roman" w:eastAsia="Times New Roman" w:hAnsi="Times New Roman" w:cs="Times New Roman"/>
      <w:szCs w:val="20"/>
    </w:rPr>
  </w:style>
  <w:style w:type="paragraph" w:customStyle="1" w:styleId="AH5Sec">
    <w:name w:val="A H5 Sec"/>
    <w:basedOn w:val="Normal"/>
    <w:next w:val="Amain"/>
    <w:link w:val="AH5SecChar"/>
    <w:rsid w:val="005E219C"/>
    <w:pPr>
      <w:keepNext/>
      <w:tabs>
        <w:tab w:val="left" w:pos="1100"/>
      </w:tabs>
      <w:spacing w:before="240"/>
      <w:ind w:left="1100" w:hanging="1100"/>
      <w:outlineLvl w:val="4"/>
    </w:pPr>
    <w:rPr>
      <w:rFonts w:ascii="Arial" w:eastAsia="Times New Roman" w:hAnsi="Arial" w:cs="Times New Roman"/>
      <w:b/>
      <w:szCs w:val="20"/>
    </w:rPr>
  </w:style>
  <w:style w:type="character" w:customStyle="1" w:styleId="CharSectNo">
    <w:name w:val="CharSectNo"/>
    <w:basedOn w:val="DefaultParagraphFont"/>
    <w:rsid w:val="005E219C"/>
    <w:rPr>
      <w:rFonts w:cs="Times New Roman"/>
    </w:rPr>
  </w:style>
  <w:style w:type="paragraph" w:styleId="Header">
    <w:name w:val="header"/>
    <w:basedOn w:val="Normal"/>
    <w:link w:val="HeaderChar"/>
    <w:uiPriority w:val="99"/>
    <w:unhideWhenUsed/>
    <w:rsid w:val="005E219C"/>
    <w:pPr>
      <w:tabs>
        <w:tab w:val="center" w:pos="4680"/>
        <w:tab w:val="right" w:pos="9360"/>
      </w:tabs>
    </w:pPr>
  </w:style>
  <w:style w:type="character" w:customStyle="1" w:styleId="HeaderChar">
    <w:name w:val="Header Char"/>
    <w:basedOn w:val="DefaultParagraphFont"/>
    <w:link w:val="Header"/>
    <w:uiPriority w:val="99"/>
    <w:rsid w:val="005E219C"/>
  </w:style>
  <w:style w:type="paragraph" w:styleId="Footer">
    <w:name w:val="footer"/>
    <w:basedOn w:val="Normal"/>
    <w:link w:val="FooterChar"/>
    <w:uiPriority w:val="99"/>
    <w:unhideWhenUsed/>
    <w:rsid w:val="005E219C"/>
    <w:pPr>
      <w:tabs>
        <w:tab w:val="center" w:pos="4680"/>
        <w:tab w:val="right" w:pos="9360"/>
      </w:tabs>
    </w:pPr>
  </w:style>
  <w:style w:type="character" w:customStyle="1" w:styleId="FooterChar">
    <w:name w:val="Footer Char"/>
    <w:basedOn w:val="DefaultParagraphFont"/>
    <w:link w:val="Footer"/>
    <w:uiPriority w:val="99"/>
    <w:rsid w:val="005E219C"/>
  </w:style>
  <w:style w:type="character" w:customStyle="1" w:styleId="AH5SecChar">
    <w:name w:val="A H5 Sec Char"/>
    <w:basedOn w:val="DefaultParagraphFont"/>
    <w:link w:val="AH5Sec"/>
    <w:locked/>
    <w:rsid w:val="005E219C"/>
    <w:rPr>
      <w:rFonts w:ascii="Arial" w:eastAsia="Times New Roman" w:hAnsi="Arial" w:cs="Times New Roman"/>
      <w:b/>
      <w:szCs w:val="20"/>
    </w:rPr>
  </w:style>
  <w:style w:type="paragraph" w:customStyle="1" w:styleId="Penalty">
    <w:name w:val="Penalty"/>
    <w:basedOn w:val="Normal"/>
    <w:rsid w:val="005E219C"/>
    <w:pPr>
      <w:spacing w:before="140"/>
      <w:ind w:left="1100"/>
      <w:jc w:val="both"/>
    </w:pPr>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85777C"/>
    <w:rPr>
      <w:sz w:val="20"/>
      <w:szCs w:val="20"/>
    </w:rPr>
  </w:style>
  <w:style w:type="character" w:customStyle="1" w:styleId="FootnoteTextChar">
    <w:name w:val="Footnote Text Char"/>
    <w:basedOn w:val="DefaultParagraphFont"/>
    <w:link w:val="FootnoteText"/>
    <w:uiPriority w:val="99"/>
    <w:semiHidden/>
    <w:rsid w:val="0085777C"/>
    <w:rPr>
      <w:sz w:val="20"/>
      <w:szCs w:val="20"/>
    </w:rPr>
  </w:style>
  <w:style w:type="character" w:styleId="FootnoteReference">
    <w:name w:val="footnote reference"/>
    <w:basedOn w:val="DefaultParagraphFont"/>
    <w:uiPriority w:val="99"/>
    <w:semiHidden/>
    <w:unhideWhenUsed/>
    <w:rsid w:val="008577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4C97C-CD3C-E04B-B515-6F8836A6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Barson</dc:creator>
  <cp:keywords/>
  <dc:description/>
  <cp:lastModifiedBy>Roger Barson</cp:lastModifiedBy>
  <cp:revision>1</cp:revision>
  <dcterms:created xsi:type="dcterms:W3CDTF">2019-07-25T23:28:00Z</dcterms:created>
  <dcterms:modified xsi:type="dcterms:W3CDTF">2019-07-25T23:56:00Z</dcterms:modified>
</cp:coreProperties>
</file>